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u w:val="single"/>
          <w:rtl w:val="0"/>
        </w:rPr>
        <w:t xml:space="preserve">   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single"/>
              <w:shd w:fill="auto" w:val="clear"/>
              <w:vertAlign w:val="baseline"/>
              <w:rtl w:val="1"/>
            </w:rPr>
            <w:t xml:space="preserve">عنوان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single"/>
              <w:shd w:fill="auto" w:val="clear"/>
              <w:vertAlign w:val="baseline"/>
              <w:rtl w:val="1"/>
            </w:rPr>
            <w:t xml:space="preserve">المشروع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تطويرالمعمل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وتأهيله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</w:p>
    <w:p w:rsidR="00000000" w:rsidDel="00000000" w:rsidP="00000000" w:rsidRDefault="00000000" w:rsidRPr="00000000" w14:paraId="00000005">
      <w:pPr>
        <w:tabs>
          <w:tab w:val="right" w:pos="8114"/>
        </w:tabs>
        <w:spacing w:before="12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8114"/>
        </w:tabs>
        <w:spacing w:before="120" w:lineRule="auto"/>
        <w:ind w:left="57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Improvement of Central Laboratory of the Faculty of Science in Suez Canal University and Qualifying it for International Accreditation</w:t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الجهة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الممولة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وحدة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مشروعات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العالى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وزارة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العالي</w:t>
      </w:r>
    </w:p>
    <w:p w:rsidR="00000000" w:rsidDel="00000000" w:rsidP="00000000" w:rsidRDefault="00000000" w:rsidRPr="00000000" w14:paraId="0000000B">
      <w:pPr>
        <w:bidi w:val="1"/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مشروع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للمعامل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الدوره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عشر</w:t>
      </w:r>
    </w:p>
    <w:p w:rsidR="00000000" w:rsidDel="00000000" w:rsidP="00000000" w:rsidRDefault="00000000" w:rsidRPr="00000000" w14:paraId="0000000E">
      <w:pPr>
        <w:tabs>
          <w:tab w:val="left" w:pos="4875"/>
        </w:tabs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مدير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المشروع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tabs>
          <w:tab w:val="left" w:pos="4875"/>
        </w:tabs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عميد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الكلية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فريد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سليمان</w:t>
      </w:r>
    </w:p>
    <w:p w:rsidR="00000000" w:rsidDel="00000000" w:rsidP="00000000" w:rsidRDefault="00000000" w:rsidRPr="00000000" w14:paraId="00000010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التنفيذى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للمشروع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المركزى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ناجح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الحق</w:t>
      </w:r>
    </w:p>
    <w:p w:rsidR="00000000" w:rsidDel="00000000" w:rsidP="00000000" w:rsidRDefault="00000000" w:rsidRPr="00000000" w14:paraId="00000012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نائب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التنفيذى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للمشروع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bidi w:val="1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مروة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الدين</w:t>
      </w:r>
    </w:p>
    <w:p w:rsidR="00000000" w:rsidDel="00000000" w:rsidP="00000000" w:rsidRDefault="00000000" w:rsidRPr="00000000" w14:paraId="00000014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مدير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الجودة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للمشروع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bidi w:val="1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رندا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الظاهر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محمد</w:t>
      </w:r>
    </w:p>
    <w:p w:rsidR="00000000" w:rsidDel="00000000" w:rsidP="00000000" w:rsidRDefault="00000000" w:rsidRPr="00000000" w14:paraId="00000016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نائب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مدير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الجودة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للمشروع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bidi w:val="1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تيسير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الشافعى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خليل</w:t>
      </w:r>
    </w:p>
    <w:p w:rsidR="00000000" w:rsidDel="00000000" w:rsidP="00000000" w:rsidRDefault="00000000" w:rsidRPr="00000000" w14:paraId="00000018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الفنى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للمشروع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مرشدى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محود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نائب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الفنى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للمشروع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bidi w:val="1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زكريا</w:t>
      </w:r>
    </w:p>
    <w:p w:rsidR="00000000" w:rsidDel="00000000" w:rsidP="00000000" w:rsidRDefault="00000000" w:rsidRPr="00000000" w14:paraId="0000001C">
      <w:pPr>
        <w:bidi w:val="1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875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اعضاء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المشروع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bidi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عرنوس</w:t>
      </w:r>
    </w:p>
    <w:p w:rsidR="00000000" w:rsidDel="00000000" w:rsidP="00000000" w:rsidRDefault="00000000" w:rsidRPr="00000000" w14:paraId="0000001F">
      <w:pPr>
        <w:bidi w:val="1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مدحت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1"/>
        </w:rPr>
        <w:t xml:space="preserve">كامل</w:t>
      </w:r>
    </w:p>
    <w:tbl>
      <w:tblPr>
        <w:tblStyle w:val="Table1"/>
        <w:tblW w:w="9738.0" w:type="dxa"/>
        <w:jc w:val="left"/>
        <w:tblInd w:w="0.0" w:type="dxa"/>
        <w:tblBorders>
          <w:top w:color="000000" w:space="0" w:sz="8" w:val="single"/>
          <w:left w:color="8eaadb" w:space="0" w:sz="4" w:val="single"/>
          <w:bottom w:color="000000" w:space="0" w:sz="8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912"/>
        <w:gridCol w:w="1882"/>
        <w:gridCol w:w="3040"/>
        <w:gridCol w:w="3904"/>
        <w:tblGridChange w:id="0">
          <w:tblGrid>
            <w:gridCol w:w="912"/>
            <w:gridCol w:w="1882"/>
            <w:gridCol w:w="3040"/>
            <w:gridCol w:w="3904"/>
          </w:tblGrid>
        </w:tblGridChange>
      </w:tblGrid>
      <w:tr>
        <w:trPr>
          <w:cantSplit w:val="0"/>
          <w:trHeight w:val="63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-105"/>
              </w:tabs>
              <w:ind w:right="26" w:hanging="180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Equipment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Model and Year of Purchase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2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Application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331"/>
              </w:tabs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Real Time PCR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QuantStudio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7">
            <w:pPr>
              <w:spacing w:after="280"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Applied Biosystems Therom fisher</w:t>
            </w:r>
          </w:p>
          <w:p w:rsidR="00000000" w:rsidDel="00000000" w:rsidP="00000000" w:rsidRDefault="00000000" w:rsidRPr="00000000" w14:paraId="00000028">
            <w:pPr>
              <w:spacing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Real-time PCR, or qPCR, is a fast developing field with wide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ranging applications for researchers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From gene expression analysis and population genotyping studies, to the multiplex detection of several disease targets, real-time PCR has opened the door to a world of possibilities.</w:t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331"/>
              </w:tabs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Nanodrop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ND- One C-W</w:t>
            </w:r>
          </w:p>
          <w:p w:rsidR="00000000" w:rsidDel="00000000" w:rsidP="00000000" w:rsidRDefault="00000000" w:rsidRPr="00000000" w14:paraId="0000002D">
            <w:pPr>
              <w:spacing w:after="280"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Thermoscientific</w:t>
            </w:r>
          </w:p>
          <w:p w:rsidR="00000000" w:rsidDel="00000000" w:rsidP="00000000" w:rsidRDefault="00000000" w:rsidRPr="00000000" w14:paraId="0000002E">
            <w:pPr>
              <w:spacing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2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NanoDrop Technologies is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designed for quantify and assess the purity of samples such as proteins and nucleic acids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331"/>
              </w:tabs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Benchtop Refrigerated centrifuge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Heraeus  Megafuge 8 R</w:t>
            </w:r>
          </w:p>
          <w:p w:rsidR="00000000" w:rsidDel="00000000" w:rsidP="00000000" w:rsidRDefault="00000000" w:rsidRPr="00000000" w14:paraId="00000033">
            <w:pPr>
              <w:spacing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Thermo Fisher Scientific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2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separate mixtures by applying centrifugal force.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331"/>
              </w:tabs>
              <w:spacing w:after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Biohazard Vertical</w:t>
            </w:r>
          </w:p>
          <w:p w:rsidR="00000000" w:rsidDel="00000000" w:rsidP="00000000" w:rsidRDefault="00000000" w:rsidRPr="00000000" w14:paraId="00000037">
            <w:pPr>
              <w:tabs>
                <w:tab w:val="left" w:pos="331"/>
              </w:tabs>
              <w:spacing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Safety Laminar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MSC-Advantage1.2</w:t>
            </w:r>
          </w:p>
          <w:p w:rsidR="00000000" w:rsidDel="00000000" w:rsidP="00000000" w:rsidRDefault="00000000" w:rsidRPr="00000000" w14:paraId="00000039">
            <w:pPr>
              <w:spacing w:after="280"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Thermo Scientific</w:t>
            </w:r>
          </w:p>
          <w:p w:rsidR="00000000" w:rsidDel="00000000" w:rsidP="00000000" w:rsidRDefault="00000000" w:rsidRPr="00000000" w14:paraId="0000003A">
            <w:pPr>
              <w:spacing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2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clean bench providing a contamination-free area to handle lab samples, products, and other specimens.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331"/>
              </w:tabs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Vertical Autoclave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3F">
            <w:pPr>
              <w:spacing w:after="280"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ST-50G, Jeio Tech</w:t>
            </w:r>
          </w:p>
          <w:p w:rsidR="00000000" w:rsidDel="00000000" w:rsidP="00000000" w:rsidRDefault="00000000" w:rsidRPr="00000000" w14:paraId="00000040">
            <w:pPr>
              <w:spacing w:before="280" w:lineRule="auto"/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2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Sterilization </w:t>
            </w:r>
          </w:p>
        </w:tc>
      </w:tr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26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Manometric BOD Apparatus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Velp (Sensor system 6)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2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Measure  Biochemical oxygen demand (BOD) in water samples</w:t>
            </w:r>
          </w:p>
        </w:tc>
      </w:tr>
      <w:tr>
        <w:trPr>
          <w:cantSplit w:val="0"/>
          <w:trHeight w:val="80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COD Reactor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Velp (ECO 25)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Digestion sample device for chemical  oxygen demand (COD) determination</w:t>
            </w:r>
          </w:p>
        </w:tc>
      </w:tr>
      <w:tr>
        <w:trPr>
          <w:cantSplit w:val="0"/>
          <w:trHeight w:val="80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Water purification system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Purify water for several lab usage (AA, Molecular, etc..)</w:t>
            </w:r>
          </w:p>
        </w:tc>
      </w:tr>
      <w:tr>
        <w:trPr>
          <w:cantSplit w:val="0"/>
          <w:trHeight w:val="80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Shaker Incubator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Shaking incubators combine the functions of a traditional incubator and a laboratory shaker for efficient performance in applications like cell aeration, studies of solubility, and cell culturing.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ind w:right="26"/>
              <w:jc w:val="center"/>
              <w:rPr>
                <w:rFonts w:ascii="Sakkal Majalla" w:cs="Sakkal Majalla" w:eastAsia="Sakkal Majalla" w:hAnsi="Sakkal Majalla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Micropipette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essential laboratory instrument used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 accurately and precisely transfer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volumes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of liquid in the microliter range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3780"/>
        </w:tabs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  <w:font w:name="Arial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InstructionsCharChar" w:customStyle="1">
    <w:name w:val="Instructions Char Char"/>
    <w:basedOn w:val="Normal"/>
    <w:link w:val="InstructionsCharCharChar"/>
    <w:rsid w:val="007F5A11"/>
    <w:pPr>
      <w:spacing w:after="60" w:line="240" w:lineRule="auto"/>
      <w:jc w:val="both"/>
    </w:pPr>
    <w:rPr>
      <w:rFonts w:ascii="Trebuchet MS" w:cs="Times New Roman" w:eastAsia="Trebuchet MS" w:hAnsi="Trebuchet MS"/>
    </w:rPr>
  </w:style>
  <w:style w:type="character" w:styleId="InstructionsCharCharChar" w:customStyle="1">
    <w:name w:val="Instructions Char Char Char"/>
    <w:link w:val="InstructionsCharChar"/>
    <w:rsid w:val="007F5A11"/>
    <w:rPr>
      <w:rFonts w:ascii="Trebuchet MS" w:cs="Times New Roman" w:eastAsia="Trebuchet MS" w:hAnsi="Trebuchet MS"/>
    </w:rPr>
  </w:style>
  <w:style w:type="paragraph" w:styleId="NormalWeb">
    <w:name w:val="Normal (Web)"/>
    <w:basedOn w:val="Normal"/>
    <w:uiPriority w:val="99"/>
    <w:semiHidden w:val="1"/>
    <w:unhideWhenUsed w:val="1"/>
    <w:rsid w:val="00027B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GridTable6Colorful-Accent51" w:customStyle="1">
    <w:name w:val="Grid Table 6 Colorful - Accent 51"/>
    <w:basedOn w:val="TableNormal"/>
    <w:uiPriority w:val="51"/>
    <w:rsid w:val="00080D74"/>
    <w:pPr>
      <w:spacing w:after="0" w:line="240" w:lineRule="auto"/>
    </w:pPr>
    <w:rPr>
      <w:color w:val="2f5496"/>
      <w:sz w:val="24"/>
      <w:szCs w:val="24"/>
    </w:rPr>
    <w:tblPr>
      <w:tblStyleRowBandSize w:val="1"/>
      <w:tblStyleColBandSize w:val="1"/>
      <w:tblInd w:w="0.0" w:type="dxa"/>
      <w:tblBorders>
        <w:top w:color="8eaadb" w:space="0" w:sz="4" w:val="single"/>
        <w:left w:color="8eaadb" w:space="0" w:sz="4" w:val="single"/>
        <w:bottom w:color="8eaadb" w:space="0" w:sz="4" w:val="single"/>
        <w:right w:color="8eaadb" w:space="0" w:sz="4" w:val="single"/>
        <w:insideH w:color="8eaadb" w:space="0" w:sz="4" w:val="single"/>
        <w:insideV w:color="8eaadb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8eaadb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LightShading">
    <w:name w:val="Light Shading"/>
    <w:basedOn w:val="TableNormal"/>
    <w:uiPriority w:val="60"/>
    <w:rsid w:val="00087ADA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character" w:styleId="hgkelc" w:customStyle="1">
    <w:name w:val="hgkelc"/>
    <w:basedOn w:val="DefaultParagraphFont"/>
    <w:rsid w:val="00FD33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mlmLiCn6NyDJ8EpdmvtSbs68g==">AMUW2mX92qrk6uVl9Izz/8QytT1D/ZR8HKjc8hf4WUKUAAchjyZSHbQj2UtHzz2UC7+XsS3JXQCmlWNef3X3hCApRWaAHDiy8kfrUESPPPDxGWMENdy9cAh39D7Hk5XMDM0ItarW1iTlX3nSFCN4FcImr8Ow57Y8tsc5XERTORFUbfMkJx4G57Rek3Z+VPHGBWUE9oOVQQAPDfHv7ri7mdR7f7Y2w87LvA==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2021-08-28T19:10:00Z</dcterms:created>
  <dc:creator>Speed</dc:creator>
</cp:coreProperties>
</file>